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E4" w:rsidRPr="00EB72E4" w:rsidRDefault="00EB72E4" w:rsidP="00EB7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72E4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Nakit Akış Tablosu</w:t>
      </w:r>
      <w:r w:rsidRPr="00EB72E4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EB72E4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>
            <wp:extent cx="85725" cy="85725"/>
            <wp:effectExtent l="0" t="0" r="9525" b="9525"/>
            <wp:docPr id="1" name="Resim 1" descr="http://www.kap.gov.tr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p.gov.tr/resimler/tabl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2E4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Nakit Akış Tablosu Dolaylı Yöntem</w:t>
      </w:r>
      <w:r w:rsidRPr="00EB72E4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307590"/>
          <w:left w:val="single" w:sz="6" w:space="0" w:color="307590"/>
          <w:bottom w:val="single" w:sz="6" w:space="0" w:color="307590"/>
          <w:right w:val="single" w:sz="6" w:space="0" w:color="30759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1"/>
        <w:gridCol w:w="1375"/>
        <w:gridCol w:w="1458"/>
        <w:gridCol w:w="1458"/>
      </w:tblGrid>
      <w:tr w:rsidR="00EB72E4" w:rsidRPr="00EB72E4" w:rsidTr="00EB72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Önceki Dönem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Konsolide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Konsolide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01.01.2014-30.06.2014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01.01.2013-30.06.2013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TL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A. İŞLETME FAALİYETLERİNDEN NAKİT AKIŞLARI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1.218.513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-4.790.016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 Karı/Zararı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-964.808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-1.034.602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 Net Karı/Zararı Mutabakatı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1.058.786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1.131.360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Amortisman ve İtfa Giderleri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13-14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176.508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210.503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Değer Düşüklüğü/İptali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Karşılıklar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7-10-29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-56.922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174.176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Faiz Gelirleri ve Giderleri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1.138.660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939.547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Gerçekleşmemiş Yabancı Para Çevirim Farkları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Pay Bazlı Ödemeler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Gerçeğe Uygun Değer Kayıpları/Kazançları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İştiraklerin Dağıtılmamış Karları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Vergi Gideri/Geliri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46.390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-46.057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Duran Varlıkların Elden Çıkarılmasından Kaynaklanan Kayıp/Kazançlar İle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Yatırım ya da Finansman Faaliyetlerinden Kaynaklanan Nakit Akışlarına Neden Olan Diğer Kalemlere İlişkin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Kar/Zarar Mutabakatı İle İlgili Diğer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-245.850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-146.809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İşletme Sermayesinde Gerçekleşen Değişimler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1.124.535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-4.886.774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Stoklardaki Artış/Azalışla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-588.709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-1.292.370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Ticari Alacaklardaki Artış/Azalışla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77.981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153.604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Faaliyetlerinden Alacaklarda Artış/Azalış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Faaliyetlerle İlgili Diğer Alacaklardaki Artış/Azalışla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-201.672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-825.889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Ticari Borçlardaki Artış/Azalışla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691.792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1.064.205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Faaliyetlerinden Borçlardaki Artış/Azalış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Faaliyetlerle İlgili Diğer Borçlardaki Artış/Azalışla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1.145.143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-3.986.324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İşletme Sermayesinde Gerçekleşen Diğer Artış/Azalışla İlgili Düzeltmeler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Faaliyetlerden Elde Edilen Nakit Akışları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1.218.513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-4.790.016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Ödenen Temettüler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Alınan Temettüler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Ödenen Faiz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Alınan Faiz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Vergi Ödemeleri/İadeleri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Nakit Girişleri/Çıkışları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B. YATIRIM FAALİYETLERİNDEN KAYNAKLANAN NAKİT AKIŞLARI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-940.800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-76.787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Bağlı Ortaklıkların Kontrolünün Kaybı Sonucunu Doğuracak Satışlara İlişkin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Bağlı Ortaklıkların Kontrolünün Elde Edilmesine Yönelik Alışlara İlişkin Nakit 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Başka İşletmelerin veya Fonların Paylarının veya Borçlanma Araçlarının Satılması Sonucu Elde Edilen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Başka İşletmelerin veya Fonların Paylarının veya Borçlanma Araçlarının Edinimi İçin Yapılan Nakit 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Maddi ve Maddi Olmayan Duran Varlıkların Satışından Kaynaklanan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13-14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575.178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Maddi ve Maddi Olmayan Duran Varlıkların Alımından Kaynaklanan Nakit 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13-14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-1.515.978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-76.787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Uzun Vadeli Varlıkların Satışından Kaynaklanan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Diğer Uzun Vadeli Varlık Alımlarınd</w:t>
            </w:r>
            <w:bookmarkStart w:id="0" w:name="_GoBack"/>
            <w:bookmarkEnd w:id="0"/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an Nakit 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Verilen Nakit Avans ve Borçlar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Verilen Nakit Avans ve Borçlardan Geri Ödemeler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Türev Araçlardan Nakit 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Türev Araçlardan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Devlet Teşviklerinden Elde Edilen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Alınan Temettüler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Ödenen Faiz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Alınan Faiz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Vergi Ödemeleri/İadeleri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Nakit Girişleri/Çıkışları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C. FİNANSMAN FAALİYETLERİNDEN NAKİT AKIŞLARI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-29.918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4.853.376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Pay ve Diğer </w:t>
            </w:r>
            <w:proofErr w:type="spellStart"/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Özkaynağa</w:t>
            </w:r>
            <w:proofErr w:type="spellEnd"/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Dayalı Araçların İhracından Kaynaklanan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6.048.000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İşletmenin Kendi Paylarını ve Diğer </w:t>
            </w:r>
            <w:proofErr w:type="spellStart"/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Özkaynağa</w:t>
            </w:r>
            <w:proofErr w:type="spellEnd"/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Dayalı Araçlarını Almasıyla İlgili Nakit 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Borçlanmadan Kaynaklanan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1.108.742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-255.077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Borç Ödemelerine İlişkin Nakit 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Finansal Kiralama Sözleşmelerinden Kaynaklanan Borç Ödemelerine İlişkin Nakit 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Devlet Teşviklerinden Elde Edilen Nakit Girişleri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Ödenen Temettüler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Alınan Faiz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212.761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Ödenen Faiz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-1.138.660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-1.152.308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Vergi Ödemeleri/İadeleri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Nakit Girişleri/Çıkışları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YABANCI PARA ÇEVRİM FARKLARININ ETKİSİNDEN ÖNCE NAKİT VE NAKİT BENZERLERİNDEKİ NET ARTIŞ/AZALIŞ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247.795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-13.427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D. YABANCI PARA ÇEVRİM FARKLARININ NAKİT VE NAKİT BENZERLERİ ÜZERİNDEKİ ETKİSİ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NAKİT VE NAKİT BENZERLERİNDEKİ NET ARTIŞ/AZALIŞ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247.795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-13.427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E. DÖNEM BAŞI NAKİT VE NAKİT BENZERLERİ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30.718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214.848</w:t>
            </w:r>
          </w:p>
        </w:tc>
      </w:tr>
      <w:tr w:rsidR="00EB72E4" w:rsidRPr="00EB72E4" w:rsidTr="00EB72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 SONU NAKİT VE NAKİT BENZERLERİ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278.513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B72E4" w:rsidRPr="00EB72E4" w:rsidRDefault="00EB72E4" w:rsidP="00EB72E4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EB72E4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201.421</w:t>
            </w:r>
          </w:p>
        </w:tc>
      </w:tr>
    </w:tbl>
    <w:p w:rsidR="00246A37" w:rsidRDefault="00246A37"/>
    <w:sectPr w:rsidR="0024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E4"/>
    <w:rsid w:val="00075DE9"/>
    <w:rsid w:val="00160CB4"/>
    <w:rsid w:val="00246A37"/>
    <w:rsid w:val="008F4501"/>
    <w:rsid w:val="00E7085C"/>
    <w:rsid w:val="00E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EB72E4"/>
  </w:style>
  <w:style w:type="character" w:customStyle="1" w:styleId="basliktablometin">
    <w:name w:val="basliktablometin"/>
    <w:basedOn w:val="VarsaylanParagrafYazTipi"/>
    <w:rsid w:val="00EB72E4"/>
  </w:style>
  <w:style w:type="character" w:customStyle="1" w:styleId="apple-converted-space">
    <w:name w:val="apple-converted-space"/>
    <w:basedOn w:val="VarsaylanParagrafYazTipi"/>
    <w:rsid w:val="00EB72E4"/>
  </w:style>
  <w:style w:type="paragraph" w:styleId="BalonMetni">
    <w:name w:val="Balloon Text"/>
    <w:basedOn w:val="Normal"/>
    <w:link w:val="BalonMetniChar"/>
    <w:uiPriority w:val="99"/>
    <w:semiHidden/>
    <w:unhideWhenUsed/>
    <w:rsid w:val="00EB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EB72E4"/>
  </w:style>
  <w:style w:type="character" w:customStyle="1" w:styleId="basliktablometin">
    <w:name w:val="basliktablometin"/>
    <w:basedOn w:val="VarsaylanParagrafYazTipi"/>
    <w:rsid w:val="00EB72E4"/>
  </w:style>
  <w:style w:type="character" w:customStyle="1" w:styleId="apple-converted-space">
    <w:name w:val="apple-converted-space"/>
    <w:basedOn w:val="VarsaylanParagrafYazTipi"/>
    <w:rsid w:val="00EB72E4"/>
  </w:style>
  <w:style w:type="paragraph" w:styleId="BalonMetni">
    <w:name w:val="Balloon Text"/>
    <w:basedOn w:val="Normal"/>
    <w:link w:val="BalonMetniChar"/>
    <w:uiPriority w:val="99"/>
    <w:semiHidden/>
    <w:unhideWhenUsed/>
    <w:rsid w:val="00EB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 ULUMAN</dc:creator>
  <cp:lastModifiedBy>Sevim ULUMAN</cp:lastModifiedBy>
  <cp:revision>1</cp:revision>
  <dcterms:created xsi:type="dcterms:W3CDTF">2014-09-02T07:53:00Z</dcterms:created>
  <dcterms:modified xsi:type="dcterms:W3CDTF">2014-09-02T07:54:00Z</dcterms:modified>
</cp:coreProperties>
</file>